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1A" w:rsidRPr="00E02783" w:rsidRDefault="002D3E1A" w:rsidP="002D3E1A">
      <w:pPr>
        <w:rPr>
          <w:b/>
          <w:sz w:val="28"/>
          <w:szCs w:val="28"/>
          <w:lang w:val="en-US"/>
        </w:rPr>
      </w:pPr>
      <w:r w:rsidRPr="00E02783">
        <w:rPr>
          <w:b/>
          <w:sz w:val="28"/>
          <w:szCs w:val="28"/>
          <w:lang w:val="en-US"/>
        </w:rPr>
        <w:t>Instructions for Use</w:t>
      </w:r>
    </w:p>
    <w:p w:rsidR="002D3E1A" w:rsidRDefault="002D3E1A" w:rsidP="002D3E1A">
      <w:pPr>
        <w:rPr>
          <w:lang w:val="en-US"/>
        </w:rPr>
      </w:pPr>
      <w:r>
        <w:rPr>
          <w:lang w:val="en-US"/>
        </w:rPr>
        <w:t xml:space="preserve">This is valid for 13mm Twist type retro-reflective markers. </w:t>
      </w:r>
    </w:p>
    <w:p w:rsidR="002D3E1A" w:rsidRDefault="002D3E1A" w:rsidP="002D3E1A">
      <w:pPr>
        <w:rPr>
          <w:lang w:val="en-US"/>
        </w:rPr>
      </w:pPr>
      <w:r>
        <w:rPr>
          <w:lang w:val="en-US"/>
        </w:rPr>
        <w:t>They are fully compatible with the IGS systems that use 13mm markers, whose mounting posts have an M3 thread.</w:t>
      </w:r>
    </w:p>
    <w:p w:rsidR="002D3E1A" w:rsidRDefault="002D3E1A" w:rsidP="002D3E1A">
      <w:pPr>
        <w:rPr>
          <w:lang w:val="en-US"/>
        </w:rPr>
      </w:pPr>
      <w:r>
        <w:rPr>
          <w:lang w:val="en-US"/>
        </w:rPr>
        <w:t xml:space="preserve"> They can be used with any IGS system, regardless of the manufacturer, as long as the system uses 13mm M3 Twist markers. </w:t>
      </w:r>
    </w:p>
    <w:p w:rsidR="002D3E1A" w:rsidRDefault="002D3E1A" w:rsidP="002D3E1A">
      <w:pPr>
        <w:rPr>
          <w:lang w:val="en-US"/>
        </w:rPr>
      </w:pPr>
      <w:r>
        <w:rPr>
          <w:lang w:val="en-US"/>
        </w:rPr>
        <w:t xml:space="preserve">The markers are in a sterile pouch. Inside the pouch, they are in a small plastic box. Inside the box they are put on small spikes so they don’t touch the walls, and so they can be mounted easier. </w:t>
      </w:r>
    </w:p>
    <w:p w:rsidR="002D3E1A" w:rsidRPr="00E02783" w:rsidRDefault="002D3E1A" w:rsidP="002D3E1A">
      <w:pPr>
        <w:rPr>
          <w:b/>
          <w:lang w:val="en-US"/>
        </w:rPr>
      </w:pPr>
      <w:r w:rsidRPr="00E02783">
        <w:rPr>
          <w:b/>
          <w:lang w:val="en-US"/>
        </w:rPr>
        <w:t xml:space="preserve">Before opening the pouch, carefully inspect it for any damage. If you notice any damage, like it being ripped, open stitch, it should be thrown away, and a new one should be used. </w:t>
      </w:r>
    </w:p>
    <w:p w:rsidR="002D3E1A" w:rsidRDefault="002D3E1A" w:rsidP="002D3E1A">
      <w:pPr>
        <w:rPr>
          <w:lang w:val="en-US"/>
        </w:rPr>
      </w:pPr>
      <w:r>
        <w:rPr>
          <w:lang w:val="en-US"/>
        </w:rPr>
        <w:t xml:space="preserve">The markers have been sterilized with gamma rays and they shouldn’t be re-used, because they won’t be usable. </w:t>
      </w:r>
    </w:p>
    <w:p w:rsidR="002D3E1A" w:rsidRDefault="002D3E1A" w:rsidP="002D3E1A">
      <w:pPr>
        <w:rPr>
          <w:lang w:val="en-US"/>
        </w:rPr>
      </w:pPr>
      <w:r>
        <w:rPr>
          <w:lang w:val="en-US"/>
        </w:rPr>
        <w:t xml:space="preserve"> Contact your dealer in case of any damage. The damaged pouch must be returned to the dealer. Do not use the pouch if the expiration date has passed. </w:t>
      </w:r>
    </w:p>
    <w:p w:rsidR="002D3E1A" w:rsidRDefault="002D3E1A" w:rsidP="002D3E1A">
      <w:pPr>
        <w:rPr>
          <w:lang w:val="en-US"/>
        </w:rPr>
      </w:pPr>
      <w:r>
        <w:rPr>
          <w:lang w:val="en-US"/>
        </w:rPr>
        <w:t xml:space="preserve">Open the pouch by grasping the longer pieces of loose material from the V-side. Carefully open the pouch and drop the sterile shell onto the sterile field. The box and the markers should be treated as sterile objects. Place the marker on the desired threaded mounting post and twist clockwise until fully seated and tight. To remove the marker, twist the marker counter-clockwise until free. </w:t>
      </w:r>
    </w:p>
    <w:p w:rsidR="002D3E1A" w:rsidRDefault="002D3E1A" w:rsidP="002D3E1A">
      <w:pPr>
        <w:rPr>
          <w:lang w:val="en-US"/>
        </w:rPr>
      </w:pPr>
      <w:r>
        <w:rPr>
          <w:lang w:val="en-US"/>
        </w:rPr>
        <w:t>Please follow these warnings:</w:t>
      </w:r>
    </w:p>
    <w:p w:rsidR="002D3E1A" w:rsidRPr="00E02783" w:rsidRDefault="002D3E1A" w:rsidP="002D3E1A">
      <w:pPr>
        <w:rPr>
          <w:b/>
          <w:lang w:val="en-US"/>
        </w:rPr>
      </w:pPr>
      <w:r w:rsidRPr="00E02783">
        <w:rPr>
          <w:b/>
          <w:lang w:val="en-US"/>
        </w:rPr>
        <w:t>Warnings</w:t>
      </w:r>
    </w:p>
    <w:p w:rsidR="002D3E1A" w:rsidRDefault="002D3E1A" w:rsidP="002D3E1A">
      <w:pPr>
        <w:pStyle w:val="ListParagraph"/>
        <w:numPr>
          <w:ilvl w:val="0"/>
          <w:numId w:val="1"/>
        </w:numPr>
        <w:rPr>
          <w:lang w:val="en-US"/>
        </w:rPr>
      </w:pPr>
      <w:r>
        <w:rPr>
          <w:lang w:val="en-US"/>
        </w:rPr>
        <w:t>Use only a clean and dry marker.</w:t>
      </w:r>
    </w:p>
    <w:p w:rsidR="002D3E1A" w:rsidRDefault="002D3E1A" w:rsidP="002D3E1A">
      <w:pPr>
        <w:pStyle w:val="ListParagraph"/>
        <w:numPr>
          <w:ilvl w:val="0"/>
          <w:numId w:val="1"/>
        </w:numPr>
        <w:rPr>
          <w:lang w:val="en-US"/>
        </w:rPr>
      </w:pPr>
      <w:r>
        <w:rPr>
          <w:lang w:val="en-US"/>
        </w:rPr>
        <w:t>Do not clean or wipe a contaminated marker.</w:t>
      </w:r>
    </w:p>
    <w:p w:rsidR="002D3E1A" w:rsidRDefault="002D3E1A" w:rsidP="002D3E1A">
      <w:pPr>
        <w:pStyle w:val="ListParagraph"/>
        <w:numPr>
          <w:ilvl w:val="0"/>
          <w:numId w:val="1"/>
        </w:numPr>
        <w:rPr>
          <w:lang w:val="en-US"/>
        </w:rPr>
      </w:pPr>
      <w:r>
        <w:rPr>
          <w:lang w:val="en-US"/>
        </w:rPr>
        <w:t>Contaminated markers must be replaced by new ones.</w:t>
      </w:r>
    </w:p>
    <w:p w:rsidR="002D3E1A" w:rsidRDefault="002D3E1A" w:rsidP="002D3E1A">
      <w:pPr>
        <w:pStyle w:val="ListParagraph"/>
        <w:numPr>
          <w:ilvl w:val="0"/>
          <w:numId w:val="1"/>
        </w:numPr>
        <w:rPr>
          <w:lang w:val="en-US"/>
        </w:rPr>
      </w:pPr>
      <w:r>
        <w:rPr>
          <w:lang w:val="en-US"/>
        </w:rPr>
        <w:t>If the pouch has been compromised, the markers within must not be used.</w:t>
      </w:r>
    </w:p>
    <w:p w:rsidR="002D3E1A" w:rsidRDefault="002D3E1A" w:rsidP="002D3E1A">
      <w:pPr>
        <w:pStyle w:val="ListParagraph"/>
        <w:numPr>
          <w:ilvl w:val="0"/>
          <w:numId w:val="1"/>
        </w:numPr>
        <w:rPr>
          <w:lang w:val="en-US"/>
        </w:rPr>
      </w:pPr>
      <w:r>
        <w:rPr>
          <w:lang w:val="en-US"/>
        </w:rPr>
        <w:t xml:space="preserve">Concurrent use of other manufacturers’ markers may adversely affect performance. </w:t>
      </w:r>
    </w:p>
    <w:p w:rsidR="002D3E1A" w:rsidRPr="00E02783" w:rsidRDefault="002D3E1A" w:rsidP="002D3E1A">
      <w:pPr>
        <w:rPr>
          <w:b/>
          <w:lang w:val="en-US"/>
        </w:rPr>
      </w:pPr>
      <w:r w:rsidRPr="00E02783">
        <w:rPr>
          <w:b/>
          <w:lang w:val="en-US"/>
        </w:rPr>
        <w:t>Caution</w:t>
      </w:r>
    </w:p>
    <w:p w:rsidR="002D3E1A" w:rsidRDefault="002D3E1A" w:rsidP="002D3E1A">
      <w:pPr>
        <w:pStyle w:val="ListParagraph"/>
        <w:numPr>
          <w:ilvl w:val="0"/>
          <w:numId w:val="2"/>
        </w:numPr>
        <w:rPr>
          <w:lang w:val="en-US"/>
        </w:rPr>
      </w:pPr>
      <w:r>
        <w:rPr>
          <w:lang w:val="en-US"/>
        </w:rPr>
        <w:t xml:space="preserve">The markers should be only used by a competent individual. </w:t>
      </w:r>
    </w:p>
    <w:p w:rsidR="002D3E1A" w:rsidRDefault="002D3E1A" w:rsidP="002D3E1A">
      <w:pPr>
        <w:pStyle w:val="ListParagraph"/>
        <w:numPr>
          <w:ilvl w:val="0"/>
          <w:numId w:val="2"/>
        </w:numPr>
        <w:rPr>
          <w:lang w:val="en-US"/>
        </w:rPr>
      </w:pPr>
      <w:r>
        <w:rPr>
          <w:lang w:val="en-US"/>
        </w:rPr>
        <w:t>Single Use Only – Dispose After Use.</w:t>
      </w:r>
    </w:p>
    <w:p w:rsidR="002D3E1A" w:rsidRDefault="002D3E1A" w:rsidP="002D3E1A">
      <w:pPr>
        <w:pStyle w:val="ListParagraph"/>
        <w:numPr>
          <w:ilvl w:val="0"/>
          <w:numId w:val="2"/>
        </w:numPr>
        <w:rPr>
          <w:lang w:val="en-US"/>
        </w:rPr>
      </w:pPr>
      <w:r>
        <w:rPr>
          <w:lang w:val="en-US"/>
        </w:rPr>
        <w:t>Do not re-sterilize.</w:t>
      </w:r>
    </w:p>
    <w:p w:rsidR="002D3E1A" w:rsidRDefault="002D3E1A" w:rsidP="002D3E1A">
      <w:pPr>
        <w:pStyle w:val="ListParagraph"/>
        <w:numPr>
          <w:ilvl w:val="0"/>
          <w:numId w:val="2"/>
        </w:numPr>
        <w:rPr>
          <w:lang w:val="en-US"/>
        </w:rPr>
      </w:pPr>
      <w:r>
        <w:rPr>
          <w:lang w:val="en-US"/>
        </w:rPr>
        <w:t>Store at room temperature in a clean and dry location.</w:t>
      </w:r>
    </w:p>
    <w:p w:rsidR="002D3E1A" w:rsidRDefault="002D3E1A" w:rsidP="002D3E1A">
      <w:pPr>
        <w:pStyle w:val="ListParagraph"/>
        <w:rPr>
          <w:lang w:val="en-US"/>
        </w:rPr>
      </w:pPr>
      <w:bookmarkStart w:id="0" w:name="_GoBack"/>
      <w:bookmarkEnd w:id="0"/>
      <w:r>
        <w:rPr>
          <w:lang w:val="en-US"/>
        </w:rPr>
        <w:t xml:space="preserve">X12 Co., Ltd. </w:t>
      </w:r>
    </w:p>
    <w:p w:rsidR="002D3E1A" w:rsidRDefault="002D3E1A" w:rsidP="002D3E1A">
      <w:pPr>
        <w:pStyle w:val="ListParagraph"/>
        <w:rPr>
          <w:lang w:val="en-US"/>
        </w:rPr>
      </w:pPr>
      <w:r>
        <w:rPr>
          <w:lang w:val="en-US"/>
        </w:rPr>
        <w:t xml:space="preserve">46 </w:t>
      </w:r>
      <w:proofErr w:type="spellStart"/>
      <w:r>
        <w:rPr>
          <w:lang w:val="en-US"/>
        </w:rPr>
        <w:t>Lubliana</w:t>
      </w:r>
      <w:proofErr w:type="spellEnd"/>
      <w:r>
        <w:rPr>
          <w:lang w:val="en-US"/>
        </w:rPr>
        <w:t xml:space="preserve"> </w:t>
      </w:r>
      <w:proofErr w:type="gramStart"/>
      <w:r>
        <w:rPr>
          <w:lang w:val="en-US"/>
        </w:rPr>
        <w:t>str</w:t>
      </w:r>
      <w:proofErr w:type="gramEnd"/>
      <w:r>
        <w:rPr>
          <w:lang w:val="en-US"/>
        </w:rPr>
        <w:t xml:space="preserve">. </w:t>
      </w:r>
    </w:p>
    <w:p w:rsidR="002D3E1A" w:rsidRDefault="002D3E1A" w:rsidP="002D3E1A">
      <w:pPr>
        <w:pStyle w:val="ListParagraph"/>
        <w:rPr>
          <w:lang w:val="en-US"/>
        </w:rPr>
      </w:pPr>
      <w:r>
        <w:rPr>
          <w:lang w:val="en-US"/>
        </w:rPr>
        <w:t>1618 Sofia, Bulgaria</w:t>
      </w:r>
    </w:p>
    <w:p w:rsidR="002D3E1A" w:rsidRDefault="002D3E1A" w:rsidP="002D3E1A">
      <w:pPr>
        <w:pStyle w:val="ListParagraph"/>
        <w:rPr>
          <w:rStyle w:val="Hyperlink"/>
          <w:lang w:val="en-US"/>
        </w:rPr>
      </w:pPr>
      <w:hyperlink r:id="rId6" w:history="1">
        <w:r w:rsidRPr="00644B31">
          <w:rPr>
            <w:rStyle w:val="Hyperlink"/>
            <w:lang w:val="en-US"/>
          </w:rPr>
          <w:t>www.x12m.com</w:t>
        </w:r>
      </w:hyperlink>
      <w:r>
        <w:rPr>
          <w:rStyle w:val="Hyperlink"/>
          <w:lang w:val="en-US"/>
        </w:rPr>
        <w:t xml:space="preserve">                   </w:t>
      </w:r>
    </w:p>
    <w:p w:rsidR="002D3E1A" w:rsidRDefault="002D3E1A" w:rsidP="002D3E1A">
      <w:pPr>
        <w:pStyle w:val="ListParagraph"/>
        <w:rPr>
          <w:lang w:val="en-US"/>
        </w:rPr>
      </w:pPr>
      <w:r>
        <w:rPr>
          <w:lang w:val="en-US"/>
        </w:rPr>
        <w:t>x12m@abv.bg</w:t>
      </w:r>
    </w:p>
    <w:p w:rsidR="006045F1" w:rsidRDefault="002D3E1A"/>
    <w:sectPr w:rsidR="00604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D44C4"/>
    <w:multiLevelType w:val="hybridMultilevel"/>
    <w:tmpl w:val="E01E6C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40553460"/>
    <w:multiLevelType w:val="hybridMultilevel"/>
    <w:tmpl w:val="D234C90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B9"/>
    <w:rsid w:val="00125FB0"/>
    <w:rsid w:val="002D3E1A"/>
    <w:rsid w:val="00B74961"/>
    <w:rsid w:val="00DF2DB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E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E1A"/>
    <w:pPr>
      <w:ind w:left="720"/>
      <w:contextualSpacing/>
    </w:pPr>
  </w:style>
  <w:style w:type="character" w:styleId="Hyperlink">
    <w:name w:val="Hyperlink"/>
    <w:basedOn w:val="DefaultParagraphFont"/>
    <w:uiPriority w:val="99"/>
    <w:unhideWhenUsed/>
    <w:rsid w:val="002D3E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E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E1A"/>
    <w:pPr>
      <w:ind w:left="720"/>
      <w:contextualSpacing/>
    </w:pPr>
  </w:style>
  <w:style w:type="character" w:styleId="Hyperlink">
    <w:name w:val="Hyperlink"/>
    <w:basedOn w:val="DefaultParagraphFont"/>
    <w:uiPriority w:val="99"/>
    <w:unhideWhenUsed/>
    <w:rsid w:val="002D3E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12m.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2014-01-09T07:55:00Z</dcterms:created>
  <dcterms:modified xsi:type="dcterms:W3CDTF">2014-01-09T07:55:00Z</dcterms:modified>
</cp:coreProperties>
</file>